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2020/87 vom 25. Oktober 2021</w:t>
      </w:r>
    </w:p>
    <w:p>
      <w:r>
        <w:t>Sg Versicherungsgericht, 2021-10-25, DE</w:t>
      </w:r>
    </w:p>
    <w:p>
      <w:r>
        <w:rPr>
          <w:b/>
        </w:rPr>
        <w:t xml:space="preserve">Quelle: </w:t>
      </w:r>
      <w:r>
        <w:t>https://mcp.opencaselaw.ch/entscheid/sg_publikationen_IV 2020_87</w:t>
      </w:r>
    </w:p>
    <w:p>
      <w:r>
        <w:t>FR: SG_VERSICHERUNGSGERICHT IV 2020/87 du 25 octobre 2021</w:t>
      </w:r>
    </w:p>
    <w:p>
      <w:r>
        <w:t>IT: SG_VERSICHERUNGSGERICHT IV 2020/87 del 25 ottobre 2021</w:t>
      </w:r>
    </w:p>
    <w:p>
      <w:pPr>
        <w:pStyle w:val="Heading2"/>
      </w:pPr>
      <w:r>
        <w:t>Regeste</w:t>
      </w:r>
    </w:p>
    <w:p>
      <w:r>
        <w:t>Art. 7 ATSG; Art. 8 ATSG; Art. 28 IVG: Umstritten ist die Beweiskraft eines polydisziplinären Gutachtens vom 9. Dezember 2019, welches dem unter einer arteriellen und einer koronaren Herzkrankheit sowie unter weichteilrheumatischen Beschwerden keine rentenbegründende Arbeitsunfähigkeit attestierte. Das Gutachten ist beweistauglich, die Beschwerde folglich abzuweisen (Entscheid des Versicherungsgerichts des Kantons St. Gallen vom 25. Oktober 2021, IV 2020/87).</w:t>
      </w:r>
    </w:p>
    <w:p>
      <w:pPr>
        <w:pStyle w:val="Heading2"/>
      </w:pPr>
      <w:r>
        <w:t>Erwägungen</w:t>
      </w:r>
    </w:p>
    <w:p>
      <w:r>
        <w:rPr>
          <w:b/>
        </w:rPr>
        <w:t>E. 4.1</w:t>
      </w:r>
    </w:p>
    <w:p>
      <w:r>
        <w:t>Nach dem Gesagten ist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der in gleicher Höhe geleistete Kostenvorschuss wird ihm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